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证券代码：601088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证券简称：中国神华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公告编</w:t>
      </w:r>
      <w:r>
        <w:rPr>
          <w:sz w:val="24"/>
          <w:highlight w:val="none"/>
        </w:rPr>
        <w:t>号：临20</w:t>
      </w:r>
      <w:r>
        <w:rPr>
          <w:rFonts w:hint="eastAsia"/>
          <w:sz w:val="24"/>
          <w:highlight w:val="none"/>
        </w:rPr>
        <w:t>24</w:t>
      </w:r>
      <w:r>
        <w:rPr>
          <w:sz w:val="24"/>
          <w:highlight w:val="none"/>
        </w:rPr>
        <w:t>-</w:t>
      </w:r>
      <w:r>
        <w:rPr>
          <w:rFonts w:hint="eastAsia"/>
          <w:sz w:val="24"/>
          <w:highlight w:val="none"/>
          <w:lang w:val="en-US" w:eastAsia="zh-CN"/>
        </w:rPr>
        <w:t>020</w:t>
      </w:r>
    </w:p>
    <w:p>
      <w:pPr>
        <w:widowControl/>
        <w:jc w:val="center"/>
        <w:rPr>
          <w:rFonts w:eastAsia="华文中宋"/>
          <w:color w:val="FF0000"/>
          <w:sz w:val="36"/>
          <w:szCs w:val="36"/>
        </w:rPr>
      </w:pPr>
      <w:r>
        <w:rPr>
          <w:sz w:val="24"/>
        </w:rPr>
        <w:br w:type="textWrapping"/>
      </w:r>
      <w:r>
        <w:rPr>
          <w:rFonts w:eastAsia="华文中宋"/>
          <w:color w:val="FF0000"/>
          <w:sz w:val="36"/>
          <w:szCs w:val="36"/>
        </w:rPr>
        <w:t>中国神华能源股份有限公司</w:t>
      </w:r>
    </w:p>
    <w:p>
      <w:pPr>
        <w:widowControl/>
        <w:spacing w:line="500" w:lineRule="exact"/>
        <w:jc w:val="center"/>
        <w:outlineLvl w:val="0"/>
        <w:rPr>
          <w:rFonts w:eastAsia="华文中宋"/>
          <w:color w:val="FF0000"/>
          <w:sz w:val="36"/>
          <w:szCs w:val="36"/>
        </w:rPr>
      </w:pPr>
      <w:r>
        <w:rPr>
          <w:rFonts w:eastAsia="华文中宋"/>
          <w:color w:val="FF0000"/>
          <w:sz w:val="36"/>
          <w:szCs w:val="36"/>
        </w:rPr>
        <w:t>202</w:t>
      </w:r>
      <w:r>
        <w:rPr>
          <w:rFonts w:hint="eastAsia" w:eastAsia="华文中宋"/>
          <w:color w:val="FF0000"/>
          <w:sz w:val="36"/>
          <w:szCs w:val="36"/>
        </w:rPr>
        <w:t>4</w:t>
      </w:r>
      <w:r>
        <w:rPr>
          <w:rFonts w:eastAsia="华文中宋"/>
          <w:color w:val="FF0000"/>
          <w:sz w:val="36"/>
          <w:szCs w:val="36"/>
        </w:rPr>
        <w:t>年</w:t>
      </w:r>
      <w:r>
        <w:rPr>
          <w:rFonts w:hint="eastAsia" w:eastAsia="华文中宋"/>
          <w:color w:val="FF0000"/>
          <w:sz w:val="36"/>
          <w:szCs w:val="36"/>
          <w:lang w:val="en-US" w:eastAsia="zh-CN"/>
        </w:rPr>
        <w:t>4</w:t>
      </w:r>
      <w:r>
        <w:rPr>
          <w:rFonts w:eastAsia="华文中宋"/>
          <w:color w:val="FF0000"/>
          <w:sz w:val="36"/>
          <w:szCs w:val="36"/>
        </w:rPr>
        <w:t>月</w:t>
      </w:r>
      <w:r>
        <w:rPr>
          <w:rFonts w:hint="eastAsia" w:eastAsia="华文中宋"/>
          <w:color w:val="FF0000"/>
          <w:sz w:val="36"/>
          <w:szCs w:val="36"/>
        </w:rPr>
        <w:t>份主要运营数据</w:t>
      </w:r>
      <w:r>
        <w:rPr>
          <w:rFonts w:eastAsia="华文中宋"/>
          <w:color w:val="FF0000"/>
          <w:sz w:val="36"/>
          <w:szCs w:val="36"/>
        </w:rPr>
        <w:t>公告</w:t>
      </w:r>
    </w:p>
    <w:p>
      <w:pPr>
        <w:widowControl/>
        <w:spacing w:line="500" w:lineRule="exact"/>
        <w:jc w:val="center"/>
        <w:rPr>
          <w:rFonts w:eastAsia="华文中宋"/>
          <w:color w:val="FF0000"/>
          <w:sz w:val="36"/>
          <w:szCs w:val="36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中国神华能源股份有限公司（“本公司”）董事会及全体董事保证本公告内容不存在任何虚假记载、误导性陈述或者重大遗漏，并对其内容的真实性、准确性和完整性承担法律责任。</w:t>
      </w:r>
    </w:p>
    <w:tbl>
      <w:tblPr>
        <w:tblStyle w:val="7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443"/>
        <w:gridCol w:w="829"/>
        <w:gridCol w:w="854"/>
        <w:gridCol w:w="824"/>
        <w:gridCol w:w="876"/>
        <w:gridCol w:w="823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432" w:type="dxa"/>
            <w:vMerge w:val="restart"/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 w:val="24"/>
              </w:rPr>
            </w:pPr>
            <w:r>
              <w:rPr>
                <w:bCs/>
                <w:spacing w:val="-20"/>
                <w:kern w:val="0"/>
                <w:sz w:val="24"/>
              </w:rPr>
              <w:t>运营指标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bCs/>
                <w:spacing w:val="-20"/>
                <w:kern w:val="0"/>
                <w:sz w:val="24"/>
              </w:rPr>
            </w:pPr>
            <w:r>
              <w:rPr>
                <w:bCs/>
                <w:spacing w:val="-20"/>
                <w:kern w:val="0"/>
                <w:sz w:val="24"/>
              </w:rPr>
              <w:t>单位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年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同比变化(%)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</w:t>
            </w: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>月</w:t>
            </w: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>月</w:t>
            </w:r>
          </w:p>
        </w:tc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2" w:type="dxa"/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  <w:kern w:val="0"/>
                <w:sz w:val="24"/>
              </w:rPr>
            </w:pPr>
            <w:r>
              <w:rPr>
                <w:b/>
                <w:bCs/>
                <w:spacing w:val="-20"/>
                <w:kern w:val="0"/>
                <w:sz w:val="24"/>
              </w:rPr>
              <w:t>（一）煤炭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  <w:bCs/>
                <w:spacing w:val="-20"/>
                <w:kern w:val="0"/>
                <w:sz w:val="24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300" w:lineRule="exact"/>
              <w:jc w:val="righ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top"/>
          </w:tcPr>
          <w:p>
            <w:pPr>
              <w:spacing w:line="300" w:lineRule="exact"/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vAlign w:val="top"/>
          </w:tcPr>
          <w:p>
            <w:pPr>
              <w:spacing w:line="300" w:lineRule="exact"/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300" w:lineRule="exact"/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300" w:lineRule="exact"/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top"/>
          </w:tcPr>
          <w:p>
            <w:pPr>
              <w:spacing w:line="300" w:lineRule="exact"/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1. 商品煤产量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百万吨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27.5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108.8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106.2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2. 煤炭销售量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百万吨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37.0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154.1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36.6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144.2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1.1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b/>
                <w:spacing w:val="-2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-20"/>
                <w:kern w:val="0"/>
                <w:sz w:val="24"/>
              </w:rPr>
              <w:t>二</w:t>
            </w:r>
            <w:r>
              <w:rPr>
                <w:b/>
                <w:spacing w:val="-20"/>
                <w:kern w:val="0"/>
                <w:sz w:val="24"/>
              </w:rPr>
              <w:t>）运输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b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54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b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24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76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823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1. 自有铁路运输周转量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十亿吨公里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108.3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27.3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101.8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bCs/>
                <w:spacing w:val="-20"/>
                <w:kern w:val="0"/>
                <w:sz w:val="24"/>
              </w:rPr>
              <w:t>2</w:t>
            </w:r>
            <w:r>
              <w:rPr>
                <w:bCs/>
                <w:spacing w:val="-20"/>
                <w:kern w:val="0"/>
                <w:sz w:val="24"/>
              </w:rPr>
              <w:t>.</w:t>
            </w:r>
            <w:r>
              <w:rPr>
                <w:rFonts w:hint="eastAsia"/>
                <w:bCs/>
                <w:spacing w:val="-20"/>
                <w:kern w:val="0"/>
                <w:sz w:val="24"/>
              </w:rPr>
              <w:t xml:space="preserve"> 黄骅港装</w:t>
            </w:r>
            <w:r>
              <w:rPr>
                <w:bCs/>
                <w:spacing w:val="-20"/>
                <w:kern w:val="0"/>
                <w:sz w:val="24"/>
              </w:rPr>
              <w:t>船量</w:t>
            </w:r>
          </w:p>
        </w:tc>
        <w:tc>
          <w:tcPr>
            <w:tcW w:w="1443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bCs/>
                <w:spacing w:val="-20"/>
                <w:kern w:val="0"/>
                <w:sz w:val="24"/>
              </w:rPr>
              <w:t>百万吨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32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bCs/>
                <w:spacing w:val="-20"/>
                <w:kern w:val="0"/>
                <w:sz w:val="24"/>
              </w:rPr>
              <w:t xml:space="preserve">3. </w:t>
            </w:r>
            <w:r>
              <w:rPr>
                <w:bCs/>
                <w:spacing w:val="-20"/>
                <w:kern w:val="0"/>
                <w:sz w:val="24"/>
              </w:rPr>
              <w:t>天津煤码头装船量</w:t>
            </w:r>
          </w:p>
        </w:tc>
        <w:tc>
          <w:tcPr>
            <w:tcW w:w="1443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bCs/>
                <w:spacing w:val="-20"/>
                <w:kern w:val="0"/>
                <w:sz w:val="24"/>
              </w:rPr>
              <w:t>百万吨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4</w:t>
            </w:r>
            <w:r>
              <w:rPr>
                <w:spacing w:val="-20"/>
                <w:kern w:val="0"/>
                <w:sz w:val="24"/>
              </w:rPr>
              <w:t xml:space="preserve">. </w:t>
            </w:r>
            <w:r>
              <w:rPr>
                <w:rFonts w:hint="eastAsia"/>
                <w:spacing w:val="-20"/>
                <w:kern w:val="0"/>
                <w:sz w:val="24"/>
              </w:rPr>
              <w:t>航运货运量</w:t>
            </w:r>
          </w:p>
        </w:tc>
        <w:tc>
          <w:tcPr>
            <w:tcW w:w="1443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百万吨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13.8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5</w:t>
            </w:r>
            <w:r>
              <w:rPr>
                <w:spacing w:val="-20"/>
                <w:kern w:val="0"/>
                <w:sz w:val="24"/>
              </w:rPr>
              <w:t>. 航运周转量</w:t>
            </w:r>
          </w:p>
        </w:tc>
        <w:tc>
          <w:tcPr>
            <w:tcW w:w="1443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十亿吨海里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48.9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b/>
                <w:spacing w:val="-2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-20"/>
                <w:kern w:val="0"/>
                <w:sz w:val="24"/>
              </w:rPr>
              <w:t>三</w:t>
            </w:r>
            <w:r>
              <w:rPr>
                <w:b/>
                <w:spacing w:val="-20"/>
                <w:kern w:val="0"/>
                <w:sz w:val="24"/>
              </w:rPr>
              <w:t>）发电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b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54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4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76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823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1. 总发电量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十亿千瓦时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71.48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14.87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66.58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8.5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2. 总售电量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十亿千瓦时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15.17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13.92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9.0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b/>
                <w:spacing w:val="-2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-20"/>
                <w:kern w:val="0"/>
                <w:sz w:val="24"/>
              </w:rPr>
              <w:t>四</w:t>
            </w:r>
            <w:r>
              <w:rPr>
                <w:b/>
                <w:spacing w:val="-20"/>
                <w:kern w:val="0"/>
                <w:sz w:val="24"/>
              </w:rPr>
              <w:t>）煤化工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b/>
                <w:kern w:val="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854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b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24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876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23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 xml:space="preserve">1. </w:t>
            </w:r>
            <w:r>
              <w:rPr>
                <w:rFonts w:hint="eastAsia"/>
                <w:spacing w:val="-20"/>
                <w:kern w:val="0"/>
                <w:sz w:val="24"/>
              </w:rPr>
              <w:t>聚乙烯销售量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千吨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16.6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106.1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122.1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vAlign w:val="center"/>
          </w:tcPr>
          <w:p>
            <w:pPr>
              <w:widowControl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 xml:space="preserve">2. </w:t>
            </w:r>
            <w:r>
              <w:rPr>
                <w:rFonts w:hint="eastAsia"/>
                <w:spacing w:val="-20"/>
                <w:kern w:val="0"/>
                <w:sz w:val="24"/>
              </w:rPr>
              <w:t>聚丙烯销售量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4"/>
                <w:lang w:bidi="ar"/>
              </w:rPr>
            </w:pPr>
            <w:r>
              <w:rPr>
                <w:spacing w:val="-20"/>
                <w:kern w:val="0"/>
                <w:sz w:val="24"/>
              </w:rPr>
              <w:t>千吨</w:t>
            </w:r>
          </w:p>
        </w:tc>
        <w:tc>
          <w:tcPr>
            <w:tcW w:w="8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19.6 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102.3 </w:t>
            </w:r>
          </w:p>
        </w:tc>
        <w:tc>
          <w:tcPr>
            <w:tcW w:w="8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27.4 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113.5 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pacing w:before="156" w:beforeLines="50" w:line="400" w:lineRule="exact"/>
        <w:ind w:firstLine="480" w:firstLineChars="200"/>
        <w:rPr>
          <w:rFonts w:hint="eastAsia" w:cs="宋体"/>
          <w:color w:val="auto"/>
          <w:kern w:val="0"/>
          <w:sz w:val="24"/>
          <w:lang w:val="en-US" w:eastAsia="zh-CN"/>
        </w:rPr>
      </w:pPr>
      <w:r>
        <w:rPr>
          <w:rFonts w:hint="eastAsia" w:cs="宋体"/>
          <w:color w:val="auto"/>
          <w:kern w:val="0"/>
          <w:sz w:val="24"/>
        </w:rPr>
        <w:t>2024年</w:t>
      </w:r>
      <w:r>
        <w:rPr>
          <w:rFonts w:hint="eastAsia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cs="宋体"/>
          <w:color w:val="auto"/>
          <w:kern w:val="0"/>
          <w:sz w:val="24"/>
        </w:rPr>
        <w:t>月，本公司</w:t>
      </w:r>
      <w:r>
        <w:rPr>
          <w:rFonts w:hint="eastAsia" w:cs="宋体"/>
          <w:color w:val="auto"/>
          <w:kern w:val="0"/>
          <w:sz w:val="24"/>
          <w:lang w:val="en-US" w:eastAsia="zh-CN"/>
        </w:rPr>
        <w:t>天津煤码头</w:t>
      </w:r>
      <w:r>
        <w:rPr>
          <w:rFonts w:hint="eastAsia" w:cs="宋体"/>
          <w:color w:val="auto"/>
          <w:kern w:val="0"/>
          <w:sz w:val="24"/>
        </w:rPr>
        <w:t>装船量同比</w:t>
      </w:r>
      <w:r>
        <w:rPr>
          <w:rFonts w:hint="eastAsia" w:cs="宋体"/>
          <w:color w:val="auto"/>
          <w:kern w:val="0"/>
          <w:sz w:val="24"/>
          <w:lang w:val="en-US" w:eastAsia="zh-CN"/>
        </w:rPr>
        <w:t>减少</w:t>
      </w:r>
      <w:r>
        <w:rPr>
          <w:rFonts w:hint="eastAsia" w:cs="宋体"/>
          <w:color w:val="auto"/>
          <w:kern w:val="0"/>
          <w:sz w:val="24"/>
        </w:rPr>
        <w:t>的主要原因，是</w:t>
      </w:r>
      <w:r>
        <w:rPr>
          <w:rFonts w:hint="eastAsia" w:cs="宋体"/>
          <w:color w:val="auto"/>
          <w:kern w:val="0"/>
          <w:sz w:val="24"/>
          <w:lang w:val="en-US" w:eastAsia="zh-CN"/>
        </w:rPr>
        <w:t>安排设备改造更新、</w:t>
      </w:r>
      <w:r>
        <w:rPr>
          <w:rFonts w:hint="eastAsia" w:cs="宋体"/>
          <w:color w:val="auto"/>
          <w:kern w:val="0"/>
          <w:sz w:val="24"/>
        </w:rPr>
        <w:t>到港资源量</w:t>
      </w:r>
      <w:r>
        <w:rPr>
          <w:rFonts w:hint="eastAsia" w:cs="宋体"/>
          <w:color w:val="auto"/>
          <w:kern w:val="0"/>
          <w:sz w:val="24"/>
          <w:lang w:val="en-US" w:eastAsia="zh-CN"/>
        </w:rPr>
        <w:t>减少</w:t>
      </w:r>
      <w:r>
        <w:rPr>
          <w:rFonts w:hint="eastAsia" w:cs="宋体"/>
          <w:color w:val="auto"/>
          <w:kern w:val="0"/>
          <w:sz w:val="24"/>
        </w:rPr>
        <w:t>。</w:t>
      </w:r>
      <w:r>
        <w:rPr>
          <w:rFonts w:hint="eastAsia" w:cs="宋体"/>
          <w:color w:val="auto"/>
          <w:kern w:val="0"/>
          <w:sz w:val="24"/>
          <w:lang w:val="en-US" w:eastAsia="zh-CN"/>
        </w:rPr>
        <w:t>航运货运量、航运周转量同比减少的主要原因，是业务结构调整、去年基数较高。聚乙烯、聚丙烯销售量同比减少的主要原因，是本月煤制烯烃生产设备检修导致产量减少。</w:t>
      </w:r>
    </w:p>
    <w:p>
      <w:pPr>
        <w:spacing w:before="156" w:beforeLines="50" w:line="400" w:lineRule="exact"/>
        <w:ind w:firstLine="480" w:firstLineChars="200"/>
        <w:rPr>
          <w:rFonts w:hint="eastAsia" w:cs="宋体"/>
          <w:color w:val="auto"/>
          <w:kern w:val="0"/>
          <w:sz w:val="24"/>
          <w:lang w:eastAsia="zh-CN"/>
        </w:rPr>
      </w:pPr>
      <w:r>
        <w:rPr>
          <w:rFonts w:hint="eastAsia" w:cs="宋体"/>
          <w:color w:val="auto"/>
          <w:kern w:val="0"/>
          <w:sz w:val="24"/>
        </w:rPr>
        <w:t>2024年1-</w:t>
      </w:r>
      <w:r>
        <w:rPr>
          <w:rFonts w:hint="eastAsia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cs="宋体"/>
          <w:color w:val="auto"/>
          <w:kern w:val="0"/>
          <w:sz w:val="24"/>
        </w:rPr>
        <w:t>月，本公司聚乙烯、聚丙烯销售量同比减少的主要原因，是</w:t>
      </w:r>
      <w:r>
        <w:rPr>
          <w:rFonts w:hint="eastAsia" w:cs="宋体"/>
          <w:color w:val="auto"/>
          <w:kern w:val="0"/>
          <w:sz w:val="24"/>
          <w:lang w:val="en-US" w:eastAsia="zh-CN"/>
        </w:rPr>
        <w:t>2024年进入大修周期，煤制烯烃生产设备按计划检修，产量减少</w:t>
      </w:r>
      <w:r>
        <w:rPr>
          <w:rFonts w:hint="eastAsia" w:cs="宋体"/>
          <w:color w:val="auto"/>
          <w:kern w:val="0"/>
          <w:sz w:val="24"/>
        </w:rPr>
        <w:t>。</w:t>
      </w:r>
    </w:p>
    <w:p>
      <w:pPr>
        <w:spacing w:before="156" w:beforeLines="50" w:line="400" w:lineRule="exact"/>
        <w:ind w:firstLine="480" w:firstLineChars="200"/>
        <w:rPr>
          <w:rFonts w:cs="宋体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以上</w:t>
      </w:r>
      <w:r>
        <w:rPr>
          <w:rFonts w:hint="eastAsia" w:cs="宋体"/>
          <w:color w:val="auto"/>
          <w:kern w:val="0"/>
          <w:sz w:val="24"/>
        </w:rPr>
        <w:t>主要运营数据来自本公司内部统计。运营数据在月度之间可能存在较大差异，其影响因素包括但不限于天气变化、设备检修、季节性因素和安全检查等。运营数据可能与相关期间定期报告披露的数据有差异。投资者应注意不恰当信赖或使用以上信息可能造成投资风险。</w:t>
      </w:r>
    </w:p>
    <w:p>
      <w:pPr>
        <w:spacing w:before="156" w:beforeLines="50" w:line="400" w:lineRule="exact"/>
        <w:rPr>
          <w:rFonts w:cs="宋体"/>
          <w:color w:val="auto"/>
          <w:kern w:val="0"/>
          <w:sz w:val="24"/>
        </w:rPr>
      </w:pPr>
    </w:p>
    <w:p>
      <w:pPr>
        <w:widowControl/>
        <w:spacing w:line="360" w:lineRule="exact"/>
        <w:jc w:val="right"/>
        <w:rPr>
          <w:rStyle w:val="11"/>
          <w:color w:val="auto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Style w:val="11"/>
          <w:color w:val="auto"/>
          <w:sz w:val="24"/>
        </w:rPr>
      </w:pPr>
      <w:r>
        <w:rPr>
          <w:rStyle w:val="11"/>
          <w:rFonts w:hint="eastAsia"/>
          <w:color w:val="auto"/>
          <w:sz w:val="24"/>
        </w:rPr>
        <w:t>承</w:t>
      </w:r>
      <w:r>
        <w:rPr>
          <w:rStyle w:val="11"/>
          <w:color w:val="auto"/>
          <w:sz w:val="24"/>
        </w:rPr>
        <w:t>中国神华能源股份有限公司</w:t>
      </w:r>
      <w:r>
        <w:rPr>
          <w:rStyle w:val="11"/>
          <w:rFonts w:hint="eastAsia"/>
          <w:color w:val="auto"/>
          <w:sz w:val="24"/>
        </w:rPr>
        <w:t>董事会命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32" w:rightChars="158"/>
        <w:jc w:val="center"/>
        <w:textAlignment w:val="auto"/>
        <w:rPr>
          <w:rStyle w:val="11"/>
          <w:rFonts w:hint="eastAsia"/>
          <w:color w:val="auto"/>
          <w:sz w:val="24"/>
        </w:rPr>
      </w:pPr>
      <w:r>
        <w:rPr>
          <w:rStyle w:val="11"/>
          <w:rFonts w:hint="eastAsia"/>
          <w:color w:val="auto"/>
          <w:sz w:val="24"/>
          <w:lang w:val="en-US" w:eastAsia="zh-CN"/>
        </w:rPr>
        <w:t xml:space="preserve">                                    </w:t>
      </w:r>
      <w:r>
        <w:rPr>
          <w:rStyle w:val="11"/>
          <w:rFonts w:hint="eastAsia"/>
          <w:color w:val="auto"/>
          <w:sz w:val="24"/>
        </w:rPr>
        <w:t>总会计师、董事会秘书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32" w:rightChars="158"/>
        <w:jc w:val="center"/>
        <w:textAlignment w:val="auto"/>
        <w:rPr>
          <w:rFonts w:cs="宋体"/>
          <w:color w:val="auto"/>
          <w:kern w:val="0"/>
          <w:sz w:val="24"/>
        </w:rPr>
      </w:pPr>
      <w:r>
        <w:rPr>
          <w:rStyle w:val="11"/>
          <w:rFonts w:hint="eastAsia"/>
          <w:color w:val="auto"/>
          <w:sz w:val="24"/>
          <w:lang w:val="en-US" w:eastAsia="zh-CN"/>
        </w:rPr>
        <w:t xml:space="preserve">                                  </w:t>
      </w:r>
      <w:r>
        <w:rPr>
          <w:rStyle w:val="11"/>
          <w:rFonts w:hint="eastAsia"/>
          <w:color w:val="auto"/>
          <w:sz w:val="24"/>
        </w:rPr>
        <w:t>宋静刚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81" w:firstLine="420"/>
        <w:jc w:val="right"/>
        <w:textAlignment w:val="auto"/>
        <w:rPr>
          <w:color w:val="auto"/>
        </w:rPr>
      </w:pPr>
      <w:bookmarkStart w:id="1" w:name="_GoBack"/>
      <w:bookmarkEnd w:id="1"/>
      <w:r>
        <w:rPr>
          <w:rStyle w:val="11"/>
          <w:rFonts w:hint="eastAsia"/>
          <w:color w:val="auto"/>
          <w:sz w:val="24"/>
        </w:rPr>
        <w:t xml:space="preserve">  </w:t>
      </w:r>
      <w:r>
        <w:rPr>
          <w:rStyle w:val="11"/>
          <w:color w:val="auto"/>
          <w:sz w:val="24"/>
        </w:rPr>
        <w:t>2024年</w:t>
      </w:r>
      <w:r>
        <w:rPr>
          <w:rStyle w:val="11"/>
          <w:rFonts w:hint="eastAsia"/>
          <w:color w:val="auto"/>
          <w:sz w:val="24"/>
          <w:lang w:val="en-US" w:eastAsia="zh-CN"/>
        </w:rPr>
        <w:t>5</w:t>
      </w:r>
      <w:r>
        <w:rPr>
          <w:rStyle w:val="11"/>
          <w:color w:val="auto"/>
          <w:sz w:val="24"/>
        </w:rPr>
        <w:t>月</w:t>
      </w:r>
      <w:r>
        <w:rPr>
          <w:rStyle w:val="11"/>
          <w:rFonts w:hint="eastAsia"/>
          <w:color w:val="auto"/>
          <w:sz w:val="24"/>
          <w:lang w:val="en-US" w:eastAsia="zh-CN"/>
        </w:rPr>
        <w:t>16</w:t>
      </w:r>
      <w:r>
        <w:rPr>
          <w:rStyle w:val="11"/>
          <w:color w:val="auto"/>
          <w:sz w:val="24"/>
        </w:rPr>
        <w:t>日</w:t>
      </w:r>
    </w:p>
    <w:sectPr>
      <w:footerReference r:id="rId3" w:type="default"/>
      <w:pgSz w:w="11906" w:h="16838"/>
      <w:pgMar w:top="1247" w:right="1797" w:bottom="1247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Page_Number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C01AB"/>
    <w:rsid w:val="001F05FD"/>
    <w:rsid w:val="00255EE8"/>
    <w:rsid w:val="002B0DF1"/>
    <w:rsid w:val="002F0DDD"/>
    <w:rsid w:val="004640E3"/>
    <w:rsid w:val="004B2C24"/>
    <w:rsid w:val="00871EF7"/>
    <w:rsid w:val="008A0B4F"/>
    <w:rsid w:val="009A3F7D"/>
    <w:rsid w:val="00AE0344"/>
    <w:rsid w:val="00C27B50"/>
    <w:rsid w:val="00C841C0"/>
    <w:rsid w:val="00CC5887"/>
    <w:rsid w:val="00D66666"/>
    <w:rsid w:val="00DB4216"/>
    <w:rsid w:val="00ED122F"/>
    <w:rsid w:val="00F62A98"/>
    <w:rsid w:val="01563427"/>
    <w:rsid w:val="023B31B5"/>
    <w:rsid w:val="03411B22"/>
    <w:rsid w:val="037B48AD"/>
    <w:rsid w:val="03EA7451"/>
    <w:rsid w:val="03EC7596"/>
    <w:rsid w:val="0488627D"/>
    <w:rsid w:val="053238F8"/>
    <w:rsid w:val="05711A7E"/>
    <w:rsid w:val="05C41034"/>
    <w:rsid w:val="062D43AF"/>
    <w:rsid w:val="06E035FB"/>
    <w:rsid w:val="06E32BB6"/>
    <w:rsid w:val="07965F00"/>
    <w:rsid w:val="07F82721"/>
    <w:rsid w:val="082719CB"/>
    <w:rsid w:val="092766A9"/>
    <w:rsid w:val="093F0735"/>
    <w:rsid w:val="09812DA2"/>
    <w:rsid w:val="09E666C9"/>
    <w:rsid w:val="0A373A13"/>
    <w:rsid w:val="0B037265"/>
    <w:rsid w:val="0BBC0FB2"/>
    <w:rsid w:val="0C183166"/>
    <w:rsid w:val="0DD5693F"/>
    <w:rsid w:val="0DE77BA5"/>
    <w:rsid w:val="0DF97DF8"/>
    <w:rsid w:val="0ECE708B"/>
    <w:rsid w:val="0F5735B8"/>
    <w:rsid w:val="0FFF2ACC"/>
    <w:rsid w:val="10086A29"/>
    <w:rsid w:val="102E7D98"/>
    <w:rsid w:val="11206427"/>
    <w:rsid w:val="113F417A"/>
    <w:rsid w:val="118770D0"/>
    <w:rsid w:val="11E36164"/>
    <w:rsid w:val="127A1044"/>
    <w:rsid w:val="12B06688"/>
    <w:rsid w:val="1313271E"/>
    <w:rsid w:val="13247DF6"/>
    <w:rsid w:val="1355687B"/>
    <w:rsid w:val="13656661"/>
    <w:rsid w:val="13A42731"/>
    <w:rsid w:val="13E1678A"/>
    <w:rsid w:val="13ED4416"/>
    <w:rsid w:val="146D1091"/>
    <w:rsid w:val="14DB5F77"/>
    <w:rsid w:val="14E22D42"/>
    <w:rsid w:val="154B4CA7"/>
    <w:rsid w:val="15771544"/>
    <w:rsid w:val="15D70664"/>
    <w:rsid w:val="162C7D6D"/>
    <w:rsid w:val="175C3CE3"/>
    <w:rsid w:val="17C5460C"/>
    <w:rsid w:val="17DD1CB2"/>
    <w:rsid w:val="188D1AD1"/>
    <w:rsid w:val="18F86278"/>
    <w:rsid w:val="190C23A4"/>
    <w:rsid w:val="195E61AE"/>
    <w:rsid w:val="19C61883"/>
    <w:rsid w:val="1AD66518"/>
    <w:rsid w:val="1B6E6F53"/>
    <w:rsid w:val="1C592E11"/>
    <w:rsid w:val="1C8B5A40"/>
    <w:rsid w:val="1DA55031"/>
    <w:rsid w:val="1E062AE2"/>
    <w:rsid w:val="1E8B65A8"/>
    <w:rsid w:val="1EAD373F"/>
    <w:rsid w:val="1EB02F65"/>
    <w:rsid w:val="1EB1426A"/>
    <w:rsid w:val="1EF03D4E"/>
    <w:rsid w:val="1EF117D0"/>
    <w:rsid w:val="1F271CAA"/>
    <w:rsid w:val="1F2F2E53"/>
    <w:rsid w:val="1FF5668C"/>
    <w:rsid w:val="20135F79"/>
    <w:rsid w:val="20384A18"/>
    <w:rsid w:val="20612581"/>
    <w:rsid w:val="20944375"/>
    <w:rsid w:val="21251770"/>
    <w:rsid w:val="214C7A68"/>
    <w:rsid w:val="22FE6D8F"/>
    <w:rsid w:val="23140F9B"/>
    <w:rsid w:val="23F01AD6"/>
    <w:rsid w:val="25493224"/>
    <w:rsid w:val="26981B9A"/>
    <w:rsid w:val="271F0D70"/>
    <w:rsid w:val="27527ACC"/>
    <w:rsid w:val="27622DD8"/>
    <w:rsid w:val="28716E7A"/>
    <w:rsid w:val="289F315B"/>
    <w:rsid w:val="29084DDE"/>
    <w:rsid w:val="293D181A"/>
    <w:rsid w:val="299F06E8"/>
    <w:rsid w:val="2A5B421E"/>
    <w:rsid w:val="2AB14EBD"/>
    <w:rsid w:val="2B784C67"/>
    <w:rsid w:val="2BA27ADE"/>
    <w:rsid w:val="2BA46C41"/>
    <w:rsid w:val="2BCE686B"/>
    <w:rsid w:val="2BDB16ED"/>
    <w:rsid w:val="2CEE4744"/>
    <w:rsid w:val="2E54481E"/>
    <w:rsid w:val="2EAD6DCA"/>
    <w:rsid w:val="2EAE2349"/>
    <w:rsid w:val="2EF63E26"/>
    <w:rsid w:val="2F652BCF"/>
    <w:rsid w:val="2FA14FB2"/>
    <w:rsid w:val="303F3BB7"/>
    <w:rsid w:val="307B2717"/>
    <w:rsid w:val="31586882"/>
    <w:rsid w:val="3203259E"/>
    <w:rsid w:val="32B77AC3"/>
    <w:rsid w:val="3359184A"/>
    <w:rsid w:val="336F39EE"/>
    <w:rsid w:val="33B20FDF"/>
    <w:rsid w:val="33EE55C1"/>
    <w:rsid w:val="33FE365D"/>
    <w:rsid w:val="340C4B71"/>
    <w:rsid w:val="349545F8"/>
    <w:rsid w:val="350E02C1"/>
    <w:rsid w:val="35135607"/>
    <w:rsid w:val="35843C4A"/>
    <w:rsid w:val="363F332D"/>
    <w:rsid w:val="3746295C"/>
    <w:rsid w:val="374F144B"/>
    <w:rsid w:val="37C91115"/>
    <w:rsid w:val="38771CCB"/>
    <w:rsid w:val="38957564"/>
    <w:rsid w:val="38A83780"/>
    <w:rsid w:val="390F130D"/>
    <w:rsid w:val="3A3B3117"/>
    <w:rsid w:val="3A7D1602"/>
    <w:rsid w:val="3A815E0A"/>
    <w:rsid w:val="3ABE36F1"/>
    <w:rsid w:val="3B50392A"/>
    <w:rsid w:val="3C034C82"/>
    <w:rsid w:val="3CF837D9"/>
    <w:rsid w:val="3D207CBC"/>
    <w:rsid w:val="3D504924"/>
    <w:rsid w:val="3E1F2749"/>
    <w:rsid w:val="3E9D7E49"/>
    <w:rsid w:val="3F0A15FD"/>
    <w:rsid w:val="3F4F0EB9"/>
    <w:rsid w:val="3FFA2304"/>
    <w:rsid w:val="3FFE2ADE"/>
    <w:rsid w:val="40A91FAB"/>
    <w:rsid w:val="40EF78AD"/>
    <w:rsid w:val="42534A61"/>
    <w:rsid w:val="426A6195"/>
    <w:rsid w:val="431B31A5"/>
    <w:rsid w:val="44043123"/>
    <w:rsid w:val="44293363"/>
    <w:rsid w:val="44962078"/>
    <w:rsid w:val="45647327"/>
    <w:rsid w:val="45AD7B64"/>
    <w:rsid w:val="462908AA"/>
    <w:rsid w:val="46300235"/>
    <w:rsid w:val="46741C23"/>
    <w:rsid w:val="46C155A5"/>
    <w:rsid w:val="46CC00B3"/>
    <w:rsid w:val="47547C01"/>
    <w:rsid w:val="47691236"/>
    <w:rsid w:val="47B944B8"/>
    <w:rsid w:val="47BA421F"/>
    <w:rsid w:val="483820F3"/>
    <w:rsid w:val="48847404"/>
    <w:rsid w:val="499E49E6"/>
    <w:rsid w:val="49A71AE5"/>
    <w:rsid w:val="49DF69B3"/>
    <w:rsid w:val="4A0C39F0"/>
    <w:rsid w:val="4A8D1AC5"/>
    <w:rsid w:val="4AC912E9"/>
    <w:rsid w:val="4B287CD4"/>
    <w:rsid w:val="4B4B31B9"/>
    <w:rsid w:val="4B881767"/>
    <w:rsid w:val="4C682397"/>
    <w:rsid w:val="4C737871"/>
    <w:rsid w:val="4CA127B9"/>
    <w:rsid w:val="4D147203"/>
    <w:rsid w:val="4D69470F"/>
    <w:rsid w:val="4D9250E4"/>
    <w:rsid w:val="4DAF3AF6"/>
    <w:rsid w:val="4E973EAE"/>
    <w:rsid w:val="4EC85950"/>
    <w:rsid w:val="4ECB164C"/>
    <w:rsid w:val="4F124ACB"/>
    <w:rsid w:val="4F6B5159"/>
    <w:rsid w:val="4F755D2D"/>
    <w:rsid w:val="4F9B372A"/>
    <w:rsid w:val="4FE0641D"/>
    <w:rsid w:val="4FE21920"/>
    <w:rsid w:val="50147B70"/>
    <w:rsid w:val="50652DF3"/>
    <w:rsid w:val="50E65663"/>
    <w:rsid w:val="510F7335"/>
    <w:rsid w:val="518A09D7"/>
    <w:rsid w:val="51D214C8"/>
    <w:rsid w:val="520E0886"/>
    <w:rsid w:val="52466F68"/>
    <w:rsid w:val="532E1087"/>
    <w:rsid w:val="53AB27F6"/>
    <w:rsid w:val="53B50F60"/>
    <w:rsid w:val="53B7505B"/>
    <w:rsid w:val="53C429EE"/>
    <w:rsid w:val="55252391"/>
    <w:rsid w:val="557430F6"/>
    <w:rsid w:val="55CE1658"/>
    <w:rsid w:val="56206E5C"/>
    <w:rsid w:val="569A7822"/>
    <w:rsid w:val="57CA1416"/>
    <w:rsid w:val="57E80C28"/>
    <w:rsid w:val="58156012"/>
    <w:rsid w:val="583D3584"/>
    <w:rsid w:val="58FD050E"/>
    <w:rsid w:val="59442E81"/>
    <w:rsid w:val="59733E38"/>
    <w:rsid w:val="599065B1"/>
    <w:rsid w:val="599A5E0E"/>
    <w:rsid w:val="5A507EBB"/>
    <w:rsid w:val="5A5F26D4"/>
    <w:rsid w:val="5B354889"/>
    <w:rsid w:val="5B486DCE"/>
    <w:rsid w:val="5BD339D9"/>
    <w:rsid w:val="5BE84759"/>
    <w:rsid w:val="5C025303"/>
    <w:rsid w:val="5CB43617"/>
    <w:rsid w:val="5CD033D2"/>
    <w:rsid w:val="5D0644A3"/>
    <w:rsid w:val="5DAC403A"/>
    <w:rsid w:val="5EDB472C"/>
    <w:rsid w:val="5F0A4B7B"/>
    <w:rsid w:val="5FB9411A"/>
    <w:rsid w:val="60F53CD0"/>
    <w:rsid w:val="612935E8"/>
    <w:rsid w:val="619C2EE2"/>
    <w:rsid w:val="623757B2"/>
    <w:rsid w:val="628E0DE1"/>
    <w:rsid w:val="63421168"/>
    <w:rsid w:val="636E721D"/>
    <w:rsid w:val="64265D4C"/>
    <w:rsid w:val="644D291F"/>
    <w:rsid w:val="649B3288"/>
    <w:rsid w:val="64ED11A3"/>
    <w:rsid w:val="655D09D6"/>
    <w:rsid w:val="658835A0"/>
    <w:rsid w:val="66510A6B"/>
    <w:rsid w:val="666E3380"/>
    <w:rsid w:val="66A065EB"/>
    <w:rsid w:val="66A87812"/>
    <w:rsid w:val="66FA5A00"/>
    <w:rsid w:val="670E5D37"/>
    <w:rsid w:val="67CE125C"/>
    <w:rsid w:val="67FE2B21"/>
    <w:rsid w:val="680F1CC5"/>
    <w:rsid w:val="68715CE9"/>
    <w:rsid w:val="69465BBA"/>
    <w:rsid w:val="69B610FC"/>
    <w:rsid w:val="6A215319"/>
    <w:rsid w:val="6A466AE9"/>
    <w:rsid w:val="6AC8443C"/>
    <w:rsid w:val="6B81166C"/>
    <w:rsid w:val="6B850073"/>
    <w:rsid w:val="6CF33ACD"/>
    <w:rsid w:val="6D966B59"/>
    <w:rsid w:val="6DB87176"/>
    <w:rsid w:val="6E3E6829"/>
    <w:rsid w:val="6E564E4C"/>
    <w:rsid w:val="6FE3639E"/>
    <w:rsid w:val="70B5530F"/>
    <w:rsid w:val="70D859B1"/>
    <w:rsid w:val="70EB1D0C"/>
    <w:rsid w:val="7171012E"/>
    <w:rsid w:val="71F53356"/>
    <w:rsid w:val="72394190"/>
    <w:rsid w:val="72A95C2C"/>
    <w:rsid w:val="73221395"/>
    <w:rsid w:val="73345810"/>
    <w:rsid w:val="73426D24"/>
    <w:rsid w:val="7380460B"/>
    <w:rsid w:val="73C00E7D"/>
    <w:rsid w:val="74AE17FA"/>
    <w:rsid w:val="74C85A93"/>
    <w:rsid w:val="75226C88"/>
    <w:rsid w:val="75286DCC"/>
    <w:rsid w:val="756E7707"/>
    <w:rsid w:val="75B91693"/>
    <w:rsid w:val="76014F2C"/>
    <w:rsid w:val="76392605"/>
    <w:rsid w:val="764D5A23"/>
    <w:rsid w:val="76767F2B"/>
    <w:rsid w:val="770941CF"/>
    <w:rsid w:val="773921A8"/>
    <w:rsid w:val="773C312D"/>
    <w:rsid w:val="77801481"/>
    <w:rsid w:val="77CB7519"/>
    <w:rsid w:val="77FF2E6B"/>
    <w:rsid w:val="781F5ABC"/>
    <w:rsid w:val="784E1CF0"/>
    <w:rsid w:val="78A0182D"/>
    <w:rsid w:val="79383E6C"/>
    <w:rsid w:val="796F0C3C"/>
    <w:rsid w:val="79F0361A"/>
    <w:rsid w:val="7AD94A2F"/>
    <w:rsid w:val="7B164C59"/>
    <w:rsid w:val="7B304708"/>
    <w:rsid w:val="7B5C2EA4"/>
    <w:rsid w:val="7C051537"/>
    <w:rsid w:val="7C2C67C8"/>
    <w:rsid w:val="7C401BE6"/>
    <w:rsid w:val="7CAF571D"/>
    <w:rsid w:val="7CED2451"/>
    <w:rsid w:val="7D1876CA"/>
    <w:rsid w:val="7E320914"/>
    <w:rsid w:val="7EB13621"/>
    <w:rsid w:val="7ED5234D"/>
    <w:rsid w:val="7EE76641"/>
    <w:rsid w:val="7F107805"/>
    <w:rsid w:val="7F4777E4"/>
    <w:rsid w:val="7F903F01"/>
    <w:rsid w:val="7FD01E42"/>
    <w:rsid w:val="7FF97783"/>
    <w:rsid w:val="7FF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content_gg"/>
    <w:qFormat/>
    <w:uiPriority w:val="0"/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1142</Characters>
  <Lines>9</Lines>
  <Paragraphs>2</Paragraphs>
  <TotalTime>1</TotalTime>
  <ScaleCrop>false</ScaleCrop>
  <LinksUpToDate>false</LinksUpToDate>
  <CharactersWithSpaces>1340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2023-08-14T01:41:00Z</dcterms:created>
  <dc:creator>admin</dc:creator>
  <cp:lastModifiedBy>赵媛</cp:lastModifiedBy>
  <dcterms:modified xsi:type="dcterms:W3CDTF">2024-05-15T03:45:17Z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8DA913675A9B4602903440297640FB2A</vt:lpwstr>
  </property>
</Properties>
</file>